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2F" w:rsidRDefault="001F7201" w:rsidP="001F7201">
      <w:pPr>
        <w:spacing w:after="0" w:line="240" w:lineRule="auto"/>
        <w:ind w:left="0" w:right="4197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FIŞA DISCIPLINEI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Date despre program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023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795"/>
        <w:gridCol w:w="6435"/>
      </w:tblGrid>
      <w:tr w:rsidR="00882D2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Creștină Partium</w:t>
            </w:r>
          </w:p>
        </w:tc>
      </w:tr>
      <w:tr w:rsidR="00882D2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Facultatea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Facultatea de Litere și Arte</w:t>
            </w:r>
          </w:p>
        </w:tc>
      </w:tr>
      <w:tr w:rsidR="00882D2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Departamentul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 de Limbă și Literatură</w:t>
            </w:r>
          </w:p>
        </w:tc>
      </w:tr>
      <w:tr w:rsidR="00882D2F">
        <w:trPr>
          <w:trHeight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Domeniul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Limbă și literatură</w:t>
            </w:r>
          </w:p>
        </w:tc>
      </w:tr>
      <w:tr w:rsidR="00882D2F">
        <w:trPr>
          <w:trHeight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Masterat</w:t>
            </w:r>
          </w:p>
        </w:tc>
      </w:tr>
      <w:tr w:rsidR="00882D2F">
        <w:trPr>
          <w:trHeight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 Programul de studii/Calificarea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Traducere și interpretariat // Masterat în filologie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Date despre disciplină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229"/>
        <w:gridCol w:w="7004"/>
      </w:tblGrid>
      <w:tr w:rsidR="00882D2F">
        <w:trPr>
          <w:trHeight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Denumirea disciplinei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Traduceri computerizate I. (GE)</w:t>
            </w:r>
          </w:p>
        </w:tc>
      </w:tr>
      <w:tr w:rsidR="00882D2F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Titularul activităţii de curs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 Univ. dr. Bánffi-Benedek Andrea</w:t>
            </w:r>
          </w:p>
        </w:tc>
      </w:tr>
      <w:tr w:rsidR="00882D2F">
        <w:trPr>
          <w:trHeight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Titularul activităţii de seminar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 Univ. dr. Bánffi-Benedek Andrea</w:t>
            </w:r>
          </w:p>
        </w:tc>
      </w:tr>
      <w:tr w:rsidR="00882D2F">
        <w:trPr>
          <w:trHeight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 Anul de studiu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</w:p>
        </w:tc>
      </w:tr>
      <w:tr w:rsidR="00882D2F">
        <w:trPr>
          <w:trHeight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 Semestrul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2D2F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 Tipul de evaluare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</w:p>
        </w:tc>
      </w:tr>
      <w:tr w:rsidR="00882D2F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2.7. Regimul disciplinei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Disciplină opțională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Timpul total estimat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882D2F">
        <w:trPr>
          <w:trHeight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 care3.2.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2D2F">
        <w:trPr>
          <w:trHeight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 care3.5. curs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 seminar/laborator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2D2F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Distribuţia fondului de timp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ore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 suplimentară în bibliotecă, pe platforme electronice de specialitate şi pe teren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4B2F4E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Tutoriat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Examinări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2D2F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Alte activităţi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2D2F">
        <w:trPr>
          <w:trHeight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4B2F4E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bookmarkStart w:id="0" w:name="_GoBack"/>
            <w:bookmarkEnd w:id="0"/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 Total ore pe semestru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882D2F">
        <w:trPr>
          <w:trHeight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 Numărul de credite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24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Precondiţii</w:t>
      </w:r>
      <w:r>
        <w:rPr>
          <w:rFonts w:ascii="Times New Roman" w:eastAsia="Times New Roman" w:hAnsi="Times New Roman" w:cs="Times New Roman"/>
          <w:sz w:val="24"/>
          <w:szCs w:val="24"/>
        </w:rPr>
        <w:t>(acolo unde este cazul)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3"/>
        <w:gridCol w:w="8140"/>
      </w:tblGrid>
      <w:tr w:rsidR="00882D2F">
        <w:trPr>
          <w:trHeight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de curriculum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Cunoștințe de bază în domeniul traducerii, dobândite pe parcursul studiilor BA.</w:t>
            </w:r>
          </w:p>
        </w:tc>
      </w:tr>
      <w:tr w:rsidR="00882D2F">
        <w:trPr>
          <w:trHeight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de competenţe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Cunoaşterea limbii germane la nivel avansat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Condiţii </w:t>
      </w:r>
      <w:r>
        <w:rPr>
          <w:rFonts w:ascii="Times New Roman" w:eastAsia="Times New Roman" w:hAnsi="Times New Roman" w:cs="Times New Roman"/>
          <w:sz w:val="24"/>
          <w:szCs w:val="24"/>
        </w:rPr>
        <w:t>(acolo unde este cazul)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928"/>
        <w:gridCol w:w="5305"/>
      </w:tblGrid>
      <w:tr w:rsidR="00882D2F">
        <w:trPr>
          <w:trHeight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 de desfăşurare a cursului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Sală de curs, dotată cu laptop, videoproiector, legătură la Internet, software adecvat</w:t>
            </w:r>
          </w:p>
        </w:tc>
      </w:tr>
      <w:tr w:rsidR="00882D2F">
        <w:trPr>
          <w:trHeight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 de desfăşurare a seminarului/laboratorului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Sală de seminar, dotată cu laptop, videoproiector, legătură la Internet, software adecvat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882D2F">
          <w:pgSz w:w="11920" w:h="16860"/>
          <w:pgMar w:top="1140" w:right="640" w:bottom="280" w:left="800" w:header="708" w:footer="708" w:gutter="0"/>
          <w:pgNumType w:start="1"/>
          <w:cols w:space="720"/>
        </w:sect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Competenţe specifice acumulate</w:t>
      </w:r>
    </w:p>
    <w:tbl>
      <w:tblPr>
        <w:tblStyle w:val="a4"/>
        <w:tblW w:w="1023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527"/>
        <w:gridCol w:w="8706"/>
      </w:tblGrid>
      <w:tr w:rsidR="00882D2F">
        <w:trPr>
          <w:trHeight w:val="502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profesionale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C3.2 Utilizarea conceptelor, tehnicilor şi metodelor fundamentale de documentare, căutare, clasificare şi stocare a informaţiei, folosirii programelor informatice (dicţionare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electronice, baze de date, traducere asistată de calculator), pentru a explica alegerea unor variante de traducere si pentru a interpreta diferitele variante de traducere 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C3.3 Aplicarea unor principii şi instrumente de bază pentru tehnoredactare, corectura de texte efectuarea documentării, stocării informaţiilor relevante domeniului, utilizarea unor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aplicaţii informatice specifice la nivel mediu  pentru efectuarea activităţilor de traducereinterpretare, cu sau fără instalaţiile adecvate, pentru arhivarea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documentelor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C3.4 Utilizarea unor instrumente esenţiale TIC pentru evaluarea corectitudinii traducerilor la nivel de conţinut sau formă, unor metode specifice de interpretare simultană şi consecutivă şi a tehnologiilor aferente acestui proces pentru discursuri de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dificultate medie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C3.5 Elaborarea unui proiect care să includă: a) documentarea în vederea realizării unei traduceri de dificultate medie, tehnoredactarea acesteia, corectura şi stocarea ei. b)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documentarea în vederea realizării unei activităţi de interpretare de dificultate medie pe un domeniu, efectuarea acesteia cu ajutorul mijloacelor tehnice adecvate şi al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metodelor specifice.</w:t>
            </w:r>
          </w:p>
          <w:p w:rsidR="00882D2F" w:rsidRDefault="00882D2F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D2F">
        <w:trPr>
          <w:trHeight w:val="178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transversale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CT1. Utilizarea componentelor domeniului limbii și literaturii în deplină concordanţă cu etica profesională</w:t>
            </w:r>
          </w:p>
          <w:p w:rsidR="00882D2F" w:rsidRDefault="001F7201" w:rsidP="001F7201">
            <w:pPr>
              <w:spacing w:after="0" w:line="240" w:lineRule="auto"/>
              <w:ind w:left="0" w:right="13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CT2. Relaţionarea în echipă; comunicarea interpersonală şi asumarea de roluri specifice. </w:t>
            </w:r>
          </w:p>
          <w:p w:rsidR="00882D2F" w:rsidRDefault="001F7201" w:rsidP="001F7201">
            <w:pPr>
              <w:spacing w:after="0" w:line="240" w:lineRule="auto"/>
              <w:ind w:left="0" w:right="13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Obiectivele disciplinei </w:t>
      </w:r>
      <w:r>
        <w:rPr>
          <w:rFonts w:ascii="Times New Roman" w:eastAsia="Times New Roman" w:hAnsi="Times New Roman" w:cs="Times New Roman"/>
          <w:sz w:val="24"/>
          <w:szCs w:val="24"/>
        </w:rPr>
        <w:t>(reieşind din grila competenţelor specifice acumulate)</w:t>
      </w:r>
    </w:p>
    <w:tbl>
      <w:tblPr>
        <w:tblStyle w:val="a5"/>
        <w:tblW w:w="10234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660"/>
        <w:gridCol w:w="7574"/>
      </w:tblGrid>
      <w:tr w:rsidR="00882D2F">
        <w:trPr>
          <w:trHeight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7.1. Obiectivul general al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Familiarizarea studenţilor cu principalele programe privind traducerea asistată de calculator, inclusiv problemele tehnice actuale privind traducerea modernă.</w:t>
            </w:r>
          </w:p>
          <w:p w:rsidR="00882D2F" w:rsidRDefault="001F7201" w:rsidP="001F7201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Dezvoltarea abilităţii de sintetizarea conceptelor fundamentale şi evaluarea critică a perspectivelor multiple aparţinând disciplinei.</w:t>
            </w:r>
          </w:p>
        </w:tc>
      </w:tr>
      <w:tr w:rsidR="00882D2F">
        <w:trPr>
          <w:trHeight w:val="19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7.2. Obiectivele specifice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Dezvoltarea cunoştinţelor în ceea ce priveşte utilizarea adecvată a principalele programe de traducere</w:t>
            </w:r>
          </w:p>
          <w:p w:rsidR="00882D2F" w:rsidRDefault="001F7201" w:rsidP="001F720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Adaptarea metodelor teoretice la situaţii de folosire practică a</w:t>
            </w:r>
          </w:p>
          <w:p w:rsidR="00882D2F" w:rsidRDefault="001F7201" w:rsidP="001F720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programelor de traducere;</w:t>
            </w:r>
          </w:p>
          <w:p w:rsidR="00882D2F" w:rsidRDefault="001F7201" w:rsidP="001F7201">
            <w:pPr>
              <w:numPr>
                <w:ilvl w:val="0"/>
                <w:numId w:val="4"/>
              </w:numPr>
              <w:tabs>
                <w:tab w:val="left" w:pos="720"/>
              </w:tabs>
              <w:spacing w:after="0"/>
              <w:ind w:left="0" w:right="171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Stăpânirea cât mai perfectă a limbii materne şi a limbii germane. </w:t>
            </w:r>
          </w:p>
          <w:p w:rsidR="00882D2F" w:rsidRDefault="001F7201" w:rsidP="001F7201">
            <w:pPr>
              <w:numPr>
                <w:ilvl w:val="0"/>
                <w:numId w:val="5"/>
              </w:numPr>
              <w:spacing w:after="0"/>
              <w:ind w:left="0" w:right="171" w:hanging="2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Capacitatea de (auto)evaluare a traducerilor şi  de asigurare a calităţilor traducerii.</w:t>
            </w:r>
          </w:p>
          <w:p w:rsidR="00882D2F" w:rsidRDefault="00882D2F" w:rsidP="001F7201">
            <w:pPr>
              <w:spacing w:after="0"/>
              <w:ind w:left="0" w:right="171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 Conţinuturi</w:t>
      </w:r>
    </w:p>
    <w:tbl>
      <w:tblPr>
        <w:tblStyle w:val="a6"/>
        <w:tblW w:w="10077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6985"/>
        <w:gridCol w:w="1843"/>
        <w:gridCol w:w="1249"/>
      </w:tblGrid>
      <w:tr w:rsidR="00882D2F">
        <w:trPr>
          <w:trHeight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82D2F" w:rsidRDefault="001F7201" w:rsidP="001F7201">
            <w:pPr>
              <w:spacing w:after="0" w:line="240" w:lineRule="auto"/>
              <w:ind w:left="0" w:right="-8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Observaţii</w:t>
            </w:r>
          </w:p>
        </w:tc>
      </w:tr>
      <w:tr w:rsidR="00882D2F">
        <w:trPr>
          <w:trHeight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Computerunterstützte Übersetzung/Maschinelle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Geschichtlicher Hintergrund und Klassifikation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66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Kompetenzen und maschinelle und menschliche Faktoren (Mängel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und Schwähen/Vorteile)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Übersetzungsvorgang /mit und ohne CAT-System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Korpus, Entwurf, Endfassung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IV.)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VI.)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VII.)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Anwendungen/CAT Programme/Tools (Teil VIII.)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9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6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 im Vergleich: Zusammenfassung, Präsentation eigener Projekte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82D2F" w:rsidRDefault="001F7201" w:rsidP="001F7201">
            <w:pPr>
              <w:spacing w:after="0" w:line="240" w:lineRule="auto"/>
              <w:ind w:left="0" w:right="-73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882D2F">
        <w:trPr>
          <w:trHeight w:val="69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Computerunterstützte Übersetzung/Maschinelle Übersetzung (Begriffsbestimmungen, allgemeine Einführung)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7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Klassifikation anhand von konkreten Beispielen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Kundenorientierung/Projektmanagement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Übersetzungsvorgang anhand von konkreten Beispielen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Korpus, Entwurf, Endfassung anhand von konkreten Beispielen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CAT Programme/Tools (Teil 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IV.)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V.)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VI.)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VII.)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Programme/Tools (Teil VIII.)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1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7"/>
              </w:numPr>
              <w:tabs>
                <w:tab w:val="left" w:pos="425"/>
              </w:tabs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Aktuelle professionelle Anwendungen im Vergleich: Zusammenfassung, Präsentation eigener Projekte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Test,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2D2F">
        <w:trPr>
          <w:trHeight w:val="8612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882D2F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BIBLIOGRAFIE</w:t>
            </w:r>
          </w:p>
          <w:p w:rsidR="00882D2F" w:rsidRPr="001F7201" w:rsidRDefault="00882D2F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Antal, Mária; Deák, Heidrun.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Sprachkürze gibt Denkweite: német tesztgyűjtemény a közép- és a felsőfokú nyelvvizsgához (is)</w:t>
            </w:r>
            <w:r w:rsidRPr="001F7201">
              <w:rPr>
                <w:rFonts w:ascii="Times New Roman" w:eastAsia="Times New Roman" w:hAnsi="Times New Roman" w:cs="Times New Roman"/>
              </w:rPr>
              <w:t>. 5. Aufl., Nemzeti Tankönyvkiadó, 1999.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Babári, Ernő.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1000 Fragen 1000 Antworten: német felsőfok: társalgási gyakorlatok a német felsőfokú nyelvvizsgákra és emelt szintű szóbeli érettségire</w:t>
            </w:r>
            <w:r w:rsidRPr="001F7201">
              <w:rPr>
                <w:rFonts w:ascii="Times New Roman" w:eastAsia="Times New Roman" w:hAnsi="Times New Roman" w:cs="Times New Roman"/>
              </w:rPr>
              <w:t>. Lexika, 2001.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Ballstaedt, Steffen-Peter.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Sprachliche Kommunikation: Verstehen und Verständlichkeit.</w:t>
            </w:r>
            <w:r w:rsidRPr="001F7201">
              <w:rPr>
                <w:rFonts w:ascii="Times New Roman" w:eastAsia="Times New Roman" w:hAnsi="Times New Roman" w:cs="Times New Roman"/>
              </w:rPr>
              <w:t xml:space="preserve"> Narr Francke Attempto, 2019.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Klaudy, Kinga.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Nyelv és fordítás: válogatott fordítástudományi tanulmányok</w:t>
            </w:r>
            <w:r w:rsidRPr="001F7201">
              <w:rPr>
                <w:rFonts w:ascii="Times New Roman" w:eastAsia="Times New Roman" w:hAnsi="Times New Roman" w:cs="Times New Roman"/>
              </w:rPr>
              <w:t>. Budapest: Tinta, 2007.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Koller, Werner.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Einführung in die Übersetzungswissenschaft</w:t>
            </w:r>
            <w:r w:rsidRPr="001F7201">
              <w:rPr>
                <w:rFonts w:ascii="Times New Roman" w:eastAsia="Times New Roman" w:hAnsi="Times New Roman" w:cs="Times New Roman"/>
              </w:rPr>
              <w:t>. 8. Aufl., Francke, 2011.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Perlmann-Balme, Michaela; Matussek, Magdalena; Schwalb, Susanne.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Sicher! Niveau C1.2: Deutsch als Fremdsprache Kursbuch und Arbeitsbuch: Lektion 7-12</w:t>
            </w:r>
            <w:r w:rsidRPr="001F7201">
              <w:rPr>
                <w:rFonts w:ascii="Times New Roman" w:eastAsia="Times New Roman" w:hAnsi="Times New Roman" w:cs="Times New Roman"/>
              </w:rPr>
              <w:t>. Hueber, 2016.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Jin, Friederike; Voss, Ute.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Grammatik aktiv: B2-C1: verstehen, üben, sprechen</w:t>
            </w:r>
            <w:r w:rsidRPr="001F7201">
              <w:rPr>
                <w:rFonts w:ascii="Times New Roman" w:eastAsia="Times New Roman" w:hAnsi="Times New Roman" w:cs="Times New Roman"/>
              </w:rPr>
              <w:t>. Cornelsen, 2019.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Koukidis, Spiros; Maier, Artemis.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Werkstatt B2: training zur Prüfung Goethe-Zertifikat B2: Arbeitsbuch</w:t>
            </w:r>
            <w:r w:rsidRPr="001F7201">
              <w:rPr>
                <w:rFonts w:ascii="Times New Roman" w:eastAsia="Times New Roman" w:hAnsi="Times New Roman" w:cs="Times New Roman"/>
              </w:rPr>
              <w:t>. Praxis, 2018.</w:t>
            </w:r>
          </w:p>
          <w:p w:rsidR="00882D2F" w:rsidRPr="001F7201" w:rsidRDefault="001F7201" w:rsidP="001F720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1F7201">
              <w:rPr>
                <w:rFonts w:ascii="Times New Roman" w:eastAsia="Times New Roman" w:hAnsi="Times New Roman" w:cs="Times New Roman"/>
              </w:rPr>
              <w:t xml:space="preserve">Zalán, Péter. </w:t>
            </w:r>
            <w:r w:rsidRPr="001F7201">
              <w:rPr>
                <w:rFonts w:ascii="Times New Roman" w:eastAsia="Times New Roman" w:hAnsi="Times New Roman" w:cs="Times New Roman"/>
                <w:i/>
              </w:rPr>
              <w:t>Német fordítóiskola: fordítás magyarról németre</w:t>
            </w:r>
            <w:r w:rsidRPr="001F7201">
              <w:rPr>
                <w:rFonts w:ascii="Times New Roman" w:eastAsia="Times New Roman" w:hAnsi="Times New Roman" w:cs="Times New Roman"/>
              </w:rPr>
              <w:t>. Corvina, 1997.</w:t>
            </w:r>
          </w:p>
          <w:p w:rsidR="00882D2F" w:rsidRDefault="00882D2F" w:rsidP="001F7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Periodice:</w:t>
            </w:r>
          </w:p>
          <w:p w:rsidR="00882D2F" w:rsidRDefault="00882D2F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882D2F" w:rsidRDefault="001F7201" w:rsidP="001F7201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Fordítástudomány. </w:t>
            </w:r>
            <w:hyperlink r:id="rId7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http://www.elteftt.hu/hu/forditastudomany-tartalomjegyzek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 sau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http://alknyelvport.nytud.hu/kiadvanyok/forditastudomany/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</w:p>
          <w:p w:rsidR="00882D2F" w:rsidRDefault="001F7201" w:rsidP="001F7201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Translation Journal. </w:t>
            </w:r>
            <w:hyperlink r:id="rId9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23"/>
                  <w:szCs w:val="23"/>
                  <w:u w:val="single"/>
                </w:rPr>
                <w:t>https://www.translationjournal.net/</w:t>
              </w:r>
            </w:hyperlink>
            <w:r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</w:p>
          <w:p w:rsidR="00882D2F" w:rsidRDefault="00882D2F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Surse online </w:t>
            </w:r>
          </w:p>
          <w:p w:rsidR="00882D2F" w:rsidRDefault="00882D2F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http://www.omegat.org/</w:t>
            </w: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MemoQ Training Videos, http://kilgray.com/resource-center/training-videos</w:t>
            </w: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http://kilgray.com/products/memoq</w:t>
            </w: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http://kilgray.com/resource-center/training-videos/getting-around-memoq</w:t>
            </w: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</w:t>
            </w:r>
          </w:p>
          <w:p w:rsidR="00882D2F" w:rsidRDefault="001F7201" w:rsidP="001F72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http://kilgray.com/resource-center/training-videos/central-resource-management-memoq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234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Coroborarea conţinuturilor disciplinei cu aşteptările reprezentanţilor comunităţii epistemice, asociaţilor profesionale şi angajatori reprezentativi din domeniul aferent programului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064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4"/>
      </w:tblGrid>
      <w:tr w:rsidR="00882D2F">
        <w:tc>
          <w:tcPr>
            <w:tcW w:w="10064" w:type="dxa"/>
          </w:tcPr>
          <w:p w:rsidR="00882D2F" w:rsidRDefault="001F7201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Conţinutul disciplinei este în concordanţă cu ceea ce se practică în alte centre universitare din țară și din străinătate. Pentru o mai bună adaptare la cerinţele pieţei muncii a conţinutului  disciplinei s-au organizat discuții și întâlniri atât cu reprezentanţii angajatorilor din mediul socio-cultural și de afaceri.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1F7201" w:rsidP="001F7201">
      <w:pPr>
        <w:spacing w:after="0" w:line="240" w:lineRule="auto"/>
        <w:ind w:left="0" w:right="-2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Evaluare</w:t>
      </w:r>
    </w:p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0192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518"/>
        <w:gridCol w:w="2410"/>
        <w:gridCol w:w="2717"/>
        <w:gridCol w:w="2547"/>
      </w:tblGrid>
      <w:tr w:rsidR="00882D2F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Tip activitate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10.1. Criterii de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10.2. Metode de evaluare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10.3. Pondere din nota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finală</w:t>
            </w:r>
          </w:p>
        </w:tc>
      </w:tr>
      <w:tr w:rsidR="00882D2F">
        <w:trPr>
          <w:trHeight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10.4. Curs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3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corectitudinea si completitudinea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cunoștinţelor;</w:t>
            </w:r>
          </w:p>
          <w:p w:rsidR="00882D2F" w:rsidRDefault="001F7201" w:rsidP="001F720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8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coerenţa logică;</w:t>
            </w:r>
          </w:p>
          <w:p w:rsidR="00882D2F" w:rsidRDefault="001F7201" w:rsidP="001F720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01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gradul de asimilare a limbajului de specialitate;</w:t>
            </w:r>
          </w:p>
          <w:p w:rsidR="00882D2F" w:rsidRDefault="001F7201" w:rsidP="001F720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8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criterii ce vizează aspectele atitudinale: conștiinciozitatea,</w:t>
            </w:r>
          </w:p>
          <w:p w:rsidR="00882D2F" w:rsidRDefault="001F7201" w:rsidP="001F720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1F7201" w:rsidP="001F7201">
            <w:pPr>
              <w:spacing w:after="0" w:line="240" w:lineRule="auto"/>
              <w:ind w:left="0" w:right="9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82D2F">
        <w:trPr>
          <w:trHeight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capacitatea de a opera cu cunoștinţele asimilate;</w:t>
            </w:r>
          </w:p>
          <w:p w:rsidR="00882D2F" w:rsidRDefault="001F7201" w:rsidP="001F7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capacitatea de 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aplicare în practică;</w:t>
            </w:r>
          </w:p>
          <w:p w:rsidR="00882D2F" w:rsidRDefault="001F7201" w:rsidP="001F7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8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criterii ce vizează aspectele atitudinale: conștiinciozitatea, interesul pentru studiu 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1F7201" w:rsidP="001F7201">
            <w:pPr>
              <w:spacing w:after="0" w:line="240" w:lineRule="auto"/>
              <w:ind w:left="0" w:right="-2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Teste, proiecte individuale/de echipă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2D2F" w:rsidRDefault="001F7201" w:rsidP="001F7201">
            <w:pPr>
              <w:spacing w:after="0" w:line="240" w:lineRule="auto"/>
              <w:ind w:left="0" w:right="9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50%</w:t>
            </w:r>
          </w:p>
        </w:tc>
      </w:tr>
      <w:tr w:rsidR="00882D2F">
        <w:trPr>
          <w:trHeight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D2F" w:rsidRDefault="001F7201" w:rsidP="001F7201">
            <w:pPr>
              <w:spacing w:after="0" w:line="240" w:lineRule="auto"/>
              <w:ind w:left="0" w:right="-2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10.6. Standard minim de performanţă: 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Înţelegerea teoriilor şi modelelor lingvistice pentru a le aplica şi adapta în practică, folosirea adecvată a terminologiei, aplicarea cuno</w:t>
            </w:r>
            <w:r>
              <w:rPr>
                <w:sz w:val="24"/>
                <w:szCs w:val="24"/>
              </w:rPr>
              <w:t>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sz w:val="24"/>
                <w:szCs w:val="24"/>
              </w:rPr>
              <w:t>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elor teoretice pe parcursul traducerii, capacitatea de a înţelege şi traduce texte din limba sursă şi formarea deprinderilor şi tehnicilor de traducere. Aplicarea adecvată a TIC (programe informatice, dicţionare electronice, baze de date, tehnici de arhivare a documentelor, etc.) pentru documentare, identificare şi stocare a informaţiei, tehnoredactare si corectura de texte.</w:t>
            </w:r>
            <w:r>
              <w:t xml:space="preserve"> 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882D2F" w:rsidRDefault="001F7201" w:rsidP="001F7201">
            <w:pPr>
              <w:spacing w:after="0" w:line="240" w:lineRule="auto"/>
              <w:ind w:left="0" w:right="-2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Participarea la min. 70% din numărul total de cursuri, respectiv seminarii. Nerespectarea prezenței minime obligatorii se sancționează cu diminuarea notei finale cu 1 punct/absență pentru fiecare absență nemotivată peste limita admisă. 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904"/>
        <w:gridCol w:w="3777"/>
      </w:tblGrid>
      <w:tr w:rsidR="00882D2F">
        <w:trPr>
          <w:trHeight w:val="107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completării</w:t>
            </w:r>
          </w:p>
          <w:p w:rsidR="00882D2F" w:rsidRDefault="00882D2F" w:rsidP="001F7201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curs</w:t>
            </w:r>
          </w:p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 Univ. dr. Bánffi-Benedek Andrea</w:t>
            </w:r>
          </w:p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seminar</w:t>
            </w:r>
          </w:p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 Univ. dr. Bánffi-Benedek Andrea</w:t>
            </w:r>
          </w:p>
        </w:tc>
      </w:tr>
      <w:tr w:rsidR="00882D2F">
        <w:trPr>
          <w:trHeight w:val="7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82D2F">
        <w:trPr>
          <w:trHeight w:val="2069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882D2F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directorului de departament: </w:t>
            </w:r>
          </w:p>
          <w:p w:rsidR="00882D2F" w:rsidRDefault="001F7201" w:rsidP="001F720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Lect. Univ. dr. Antal-Fórizs Ioan James</w:t>
            </w:r>
          </w:p>
        </w:tc>
      </w:tr>
    </w:tbl>
    <w:p w:rsidR="00882D2F" w:rsidRDefault="00882D2F" w:rsidP="001F7201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82D2F" w:rsidRDefault="00882D2F" w:rsidP="00882D2F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sectPr w:rsidR="00882D2F">
      <w:pgSz w:w="11920" w:h="16860"/>
      <w:pgMar w:top="1040" w:right="680" w:bottom="280" w:left="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7CD"/>
    <w:multiLevelType w:val="multilevel"/>
    <w:tmpl w:val="B0265944"/>
    <w:lvl w:ilvl="0">
      <w:start w:val="1"/>
      <w:numFmt w:val="bullet"/>
      <w:lvlText w:val="⮚"/>
      <w:lvlJc w:val="left"/>
      <w:pPr>
        <w:ind w:left="420" w:hanging="42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BF8578E"/>
    <w:multiLevelType w:val="multilevel"/>
    <w:tmpl w:val="6D06F532"/>
    <w:lvl w:ilvl="0">
      <w:start w:val="1"/>
      <w:numFmt w:val="decimal"/>
      <w:lvlText w:val="%1."/>
      <w:lvlJc w:val="left"/>
      <w:pPr>
        <w:ind w:left="425" w:hanging="42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D6C0ABE"/>
    <w:multiLevelType w:val="multilevel"/>
    <w:tmpl w:val="B2AAD4B6"/>
    <w:lvl w:ilvl="0">
      <w:start w:val="1"/>
      <w:numFmt w:val="bullet"/>
      <w:lvlText w:val="⮚"/>
      <w:lvlJc w:val="left"/>
      <w:pPr>
        <w:ind w:left="420" w:hanging="42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F322632"/>
    <w:multiLevelType w:val="multilevel"/>
    <w:tmpl w:val="31805A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6671DCC"/>
    <w:multiLevelType w:val="multilevel"/>
    <w:tmpl w:val="AB92701A"/>
    <w:lvl w:ilvl="0">
      <w:start w:val="1"/>
      <w:numFmt w:val="decimal"/>
      <w:lvlText w:val="%1."/>
      <w:lvlJc w:val="left"/>
      <w:pPr>
        <w:ind w:left="425" w:hanging="42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35A5334A"/>
    <w:multiLevelType w:val="multilevel"/>
    <w:tmpl w:val="AFE8F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AB66A1F"/>
    <w:multiLevelType w:val="multilevel"/>
    <w:tmpl w:val="F33C01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482435E"/>
    <w:multiLevelType w:val="multilevel"/>
    <w:tmpl w:val="51C8BA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BDA6353"/>
    <w:multiLevelType w:val="multilevel"/>
    <w:tmpl w:val="51127218"/>
    <w:lvl w:ilvl="0">
      <w:start w:val="1"/>
      <w:numFmt w:val="bullet"/>
      <w:lvlText w:val="●"/>
      <w:lvlJc w:val="left"/>
      <w:pPr>
        <w:ind w:left="719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DB37F69"/>
    <w:multiLevelType w:val="multilevel"/>
    <w:tmpl w:val="6BDC3538"/>
    <w:lvl w:ilvl="0">
      <w:start w:val="1"/>
      <w:numFmt w:val="bullet"/>
      <w:lvlText w:val="●"/>
      <w:lvlJc w:val="left"/>
      <w:pPr>
        <w:ind w:left="13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882D2F"/>
    <w:rsid w:val="001F7201"/>
    <w:rsid w:val="004B2F4E"/>
    <w:rsid w:val="00814DE6"/>
    <w:rsid w:val="0088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TMLCite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keyvalue">
    <w:name w:val="keyvalu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xc">
    <w:name w:val="xc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BodyTextChar">
    <w:name w:val="Body Text Char"/>
    <w:rPr>
      <w:rFonts w:ascii="Verdana" w:eastAsia="Times New Roman" w:hAnsi="Verdana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ro-RO" w:eastAsia="zh-CN"/>
    </w:rPr>
  </w:style>
  <w:style w:type="paragraph" w:styleId="BodyText">
    <w:name w:val="Body Text"/>
    <w:basedOn w:val="Normal"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paragraph" w:customStyle="1" w:styleId="Norml1">
    <w:name w:val="Normá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hu-HU" w:eastAsia="hu-HU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TMLCite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keyvalue">
    <w:name w:val="keyvalu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xc">
    <w:name w:val="xc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BodyTextChar">
    <w:name w:val="Body Text Char"/>
    <w:rPr>
      <w:rFonts w:ascii="Verdana" w:eastAsia="Times New Roman" w:hAnsi="Verdana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ro-RO" w:eastAsia="zh-CN"/>
    </w:rPr>
  </w:style>
  <w:style w:type="paragraph" w:styleId="BodyText">
    <w:name w:val="Body Text"/>
    <w:basedOn w:val="Normal"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paragraph" w:customStyle="1" w:styleId="Norml1">
    <w:name w:val="Normá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hu-HU" w:eastAsia="hu-HU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MmL3vbHHxEkgOY+CX9ZZF3B9CA==">CgMxLjA4AHIhMVRhNXNONG5oOElkRjQxVElEUmJVU3ZCcFY2NTNPYXVZ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1746</Words>
  <Characters>9955</Characters>
  <Application>Microsoft Office Word</Application>
  <DocSecurity>0</DocSecurity>
  <Lines>82</Lines>
  <Paragraphs>23</Paragraphs>
  <ScaleCrop>false</ScaleCrop>
  <Company/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Admin</cp:lastModifiedBy>
  <cp:revision>4</cp:revision>
  <dcterms:created xsi:type="dcterms:W3CDTF">2018-08-04T07:10:00Z</dcterms:created>
  <dcterms:modified xsi:type="dcterms:W3CDTF">2024-12-04T20:50:00Z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2012-09-13T22:00:00Z</vt:lpwstr>
  </property>
  <property fmtid="{D5CDD505-2E9C-101B-9397-08002B2CF9AE}" pid="3" name="LastSaved">
    <vt:lpwstr>2013-10-09T22:00:00Z</vt:lpwstr>
  </property>
  <property fmtid="{D5CDD505-2E9C-101B-9397-08002B2CF9AE}" pid="4" name="KSOProductBuildVer">
    <vt:lpwstr>1033-10.2.0.7587</vt:lpwstr>
  </property>
</Properties>
</file>